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18" w:rsidRPr="004C0696" w:rsidRDefault="007B5518" w:rsidP="007B5518">
      <w:pPr>
        <w:spacing w:after="0" w:line="276" w:lineRule="auto"/>
        <w:jc w:val="center"/>
        <w:rPr>
          <w:rFonts w:ascii="Arial Narrow" w:hAnsi="Arial Narrow" w:cs="Times New Roman"/>
          <w:b/>
          <w:color w:val="0070C0"/>
          <w:sz w:val="28"/>
        </w:rPr>
      </w:pPr>
      <w:bookmarkStart w:id="0" w:name="_GoBack"/>
      <w:bookmarkEnd w:id="0"/>
      <w:r w:rsidRPr="004C0696">
        <w:rPr>
          <w:rFonts w:ascii="Arial Narrow" w:hAnsi="Arial Narrow" w:cs="Times New Roman"/>
          <w:b/>
          <w:color w:val="0070C0"/>
          <w:sz w:val="28"/>
        </w:rPr>
        <w:t>REPUBLIQUE DU NIGER</w:t>
      </w:r>
    </w:p>
    <w:p w:rsidR="007B5518" w:rsidRPr="004C0696" w:rsidRDefault="007B5518" w:rsidP="007B5518">
      <w:pPr>
        <w:spacing w:after="0" w:line="276" w:lineRule="auto"/>
        <w:jc w:val="center"/>
        <w:rPr>
          <w:rFonts w:ascii="Arial Narrow" w:hAnsi="Arial Narrow" w:cs="Times New Roman"/>
          <w:b/>
          <w:i/>
          <w:color w:val="0070C0"/>
          <w:sz w:val="28"/>
        </w:rPr>
      </w:pPr>
      <w:r w:rsidRPr="004C0696">
        <w:rPr>
          <w:rFonts w:ascii="Arial Narrow" w:eastAsia="Times New Roman" w:hAnsi="Arial Narrow" w:cs="Times New Roman"/>
          <w:i/>
          <w:color w:val="0070C0"/>
          <w:spacing w:val="-1"/>
          <w:sz w:val="28"/>
        </w:rPr>
        <w:t>F</w:t>
      </w:r>
      <w:r w:rsidRPr="004C0696">
        <w:rPr>
          <w:rFonts w:ascii="Arial Narrow" w:eastAsia="Times New Roman" w:hAnsi="Arial Narrow" w:cs="Times New Roman"/>
          <w:i/>
          <w:color w:val="0070C0"/>
          <w:sz w:val="28"/>
        </w:rPr>
        <w:t>r</w:t>
      </w:r>
      <w:r w:rsidRPr="004C0696">
        <w:rPr>
          <w:rFonts w:ascii="Arial Narrow" w:eastAsia="Times New Roman" w:hAnsi="Arial Narrow" w:cs="Times New Roman"/>
          <w:i/>
          <w:color w:val="0070C0"/>
          <w:spacing w:val="-2"/>
          <w:sz w:val="28"/>
        </w:rPr>
        <w:t>a</w:t>
      </w:r>
      <w:r w:rsidRPr="004C0696">
        <w:rPr>
          <w:rFonts w:ascii="Arial Narrow" w:eastAsia="Times New Roman" w:hAnsi="Arial Narrow" w:cs="Times New Roman"/>
          <w:i/>
          <w:color w:val="0070C0"/>
          <w:spacing w:val="3"/>
          <w:sz w:val="28"/>
        </w:rPr>
        <w:t>t</w:t>
      </w:r>
      <w:r w:rsidRPr="004C0696">
        <w:rPr>
          <w:rFonts w:ascii="Arial Narrow" w:eastAsia="Times New Roman" w:hAnsi="Arial Narrow" w:cs="Times New Roman"/>
          <w:i/>
          <w:color w:val="0070C0"/>
          <w:spacing w:val="-1"/>
          <w:sz w:val="28"/>
        </w:rPr>
        <w:t>e</w:t>
      </w:r>
      <w:r w:rsidRPr="004C0696">
        <w:rPr>
          <w:rFonts w:ascii="Arial Narrow" w:eastAsia="Times New Roman" w:hAnsi="Arial Narrow" w:cs="Times New Roman"/>
          <w:i/>
          <w:color w:val="0070C0"/>
          <w:sz w:val="28"/>
        </w:rPr>
        <w:t>rnit</w:t>
      </w:r>
      <w:r w:rsidRPr="004C0696">
        <w:rPr>
          <w:rFonts w:ascii="Arial Narrow" w:eastAsia="Times New Roman" w:hAnsi="Arial Narrow" w:cs="Times New Roman"/>
          <w:i/>
          <w:color w:val="0070C0"/>
          <w:spacing w:val="4"/>
          <w:sz w:val="28"/>
        </w:rPr>
        <w:t>é</w:t>
      </w:r>
      <w:r w:rsidRPr="004C0696">
        <w:rPr>
          <w:rFonts w:ascii="Arial Narrow" w:eastAsia="Times New Roman" w:hAnsi="Arial Narrow" w:cs="Times New Roman"/>
          <w:i/>
          <w:color w:val="0070C0"/>
          <w:spacing w:val="-1"/>
          <w:sz w:val="28"/>
        </w:rPr>
        <w:t>-</w:t>
      </w:r>
      <w:r w:rsidRPr="004C0696">
        <w:rPr>
          <w:rFonts w:ascii="Arial Narrow" w:eastAsia="Times New Roman" w:hAnsi="Arial Narrow" w:cs="Times New Roman"/>
          <w:i/>
          <w:color w:val="0070C0"/>
          <w:sz w:val="28"/>
        </w:rPr>
        <w:t>T</w:t>
      </w:r>
      <w:r w:rsidRPr="004C0696">
        <w:rPr>
          <w:rFonts w:ascii="Arial Narrow" w:eastAsia="Times New Roman" w:hAnsi="Arial Narrow" w:cs="Times New Roman"/>
          <w:i/>
          <w:color w:val="0070C0"/>
          <w:spacing w:val="-1"/>
          <w:sz w:val="28"/>
        </w:rPr>
        <w:t>ra</w:t>
      </w:r>
      <w:r w:rsidRPr="004C0696">
        <w:rPr>
          <w:rFonts w:ascii="Arial Narrow" w:eastAsia="Times New Roman" w:hAnsi="Arial Narrow" w:cs="Times New Roman"/>
          <w:i/>
          <w:color w:val="0070C0"/>
          <w:sz w:val="28"/>
        </w:rPr>
        <w:t>v</w:t>
      </w:r>
      <w:r w:rsidRPr="004C0696">
        <w:rPr>
          <w:rFonts w:ascii="Arial Narrow" w:eastAsia="Times New Roman" w:hAnsi="Arial Narrow" w:cs="Times New Roman"/>
          <w:i/>
          <w:color w:val="0070C0"/>
          <w:spacing w:val="-1"/>
          <w:sz w:val="28"/>
        </w:rPr>
        <w:t>a</w:t>
      </w:r>
      <w:r w:rsidRPr="004C0696">
        <w:rPr>
          <w:rFonts w:ascii="Arial Narrow" w:eastAsia="Times New Roman" w:hAnsi="Arial Narrow" w:cs="Times New Roman"/>
          <w:i/>
          <w:color w:val="0070C0"/>
          <w:sz w:val="28"/>
        </w:rPr>
        <w:t>il-</w:t>
      </w:r>
      <w:r w:rsidRPr="004C0696">
        <w:rPr>
          <w:rFonts w:ascii="Arial Narrow" w:eastAsia="Times New Roman" w:hAnsi="Arial Narrow" w:cs="Times New Roman"/>
          <w:i/>
          <w:color w:val="0070C0"/>
          <w:spacing w:val="-1"/>
          <w:sz w:val="28"/>
        </w:rPr>
        <w:t xml:space="preserve"> </w:t>
      </w:r>
      <w:r w:rsidRPr="004C0696">
        <w:rPr>
          <w:rFonts w:ascii="Arial Narrow" w:eastAsia="Times New Roman" w:hAnsi="Arial Narrow" w:cs="Times New Roman"/>
          <w:i/>
          <w:color w:val="0070C0"/>
          <w:spacing w:val="1"/>
          <w:sz w:val="28"/>
        </w:rPr>
        <w:t>P</w:t>
      </w:r>
      <w:r w:rsidRPr="004C0696">
        <w:rPr>
          <w:rFonts w:ascii="Arial Narrow" w:eastAsia="Times New Roman" w:hAnsi="Arial Narrow" w:cs="Times New Roman"/>
          <w:i/>
          <w:color w:val="0070C0"/>
          <w:sz w:val="28"/>
        </w:rPr>
        <w:t>ro</w:t>
      </w:r>
      <w:r w:rsidRPr="004C0696">
        <w:rPr>
          <w:rFonts w:ascii="Arial Narrow" w:eastAsia="Times New Roman" w:hAnsi="Arial Narrow" w:cs="Times New Roman"/>
          <w:i/>
          <w:color w:val="0070C0"/>
          <w:spacing w:val="1"/>
          <w:sz w:val="28"/>
        </w:rPr>
        <w:t>g</w:t>
      </w:r>
      <w:r w:rsidRPr="004C0696">
        <w:rPr>
          <w:rFonts w:ascii="Arial Narrow" w:eastAsia="Times New Roman" w:hAnsi="Arial Narrow" w:cs="Times New Roman"/>
          <w:i/>
          <w:color w:val="0070C0"/>
          <w:sz w:val="28"/>
        </w:rPr>
        <w:t>r</w:t>
      </w:r>
      <w:r w:rsidRPr="004C0696">
        <w:rPr>
          <w:rFonts w:ascii="Arial Narrow" w:eastAsia="Times New Roman" w:hAnsi="Arial Narrow" w:cs="Times New Roman"/>
          <w:i/>
          <w:color w:val="0070C0"/>
          <w:spacing w:val="-2"/>
          <w:sz w:val="28"/>
        </w:rPr>
        <w:t>è</w:t>
      </w:r>
      <w:r w:rsidRPr="004C0696">
        <w:rPr>
          <w:rFonts w:ascii="Arial Narrow" w:eastAsia="Times New Roman" w:hAnsi="Arial Narrow" w:cs="Times New Roman"/>
          <w:i/>
          <w:color w:val="0070C0"/>
          <w:sz w:val="28"/>
        </w:rPr>
        <w:t>s</w:t>
      </w:r>
    </w:p>
    <w:p w:rsidR="007B5518" w:rsidRPr="004C0696" w:rsidRDefault="00124508" w:rsidP="007B5518">
      <w:pPr>
        <w:spacing w:after="0" w:line="276" w:lineRule="auto"/>
        <w:jc w:val="center"/>
        <w:rPr>
          <w:rFonts w:ascii="Arial Narrow" w:hAnsi="Arial Narrow" w:cs="Times New Roman"/>
          <w:b/>
          <w:color w:val="0070C0"/>
          <w:sz w:val="28"/>
        </w:rPr>
      </w:pPr>
      <w:bookmarkStart w:id="1" w:name="_Hlk57281209"/>
      <w:r>
        <w:rPr>
          <w:rFonts w:ascii="Arial Narrow" w:hAnsi="Arial Narrow" w:cs="Times New Roman"/>
          <w:b/>
          <w:color w:val="0070C0"/>
          <w:sz w:val="28"/>
        </w:rPr>
        <w:t xml:space="preserve">Cabinet du Premier Ministre </w:t>
      </w:r>
    </w:p>
    <w:bookmarkEnd w:id="1"/>
    <w:p w:rsidR="007B5518" w:rsidRPr="004C0696" w:rsidRDefault="007B5518" w:rsidP="007B5518">
      <w:pPr>
        <w:spacing w:after="0" w:line="276" w:lineRule="auto"/>
        <w:jc w:val="both"/>
        <w:rPr>
          <w:rFonts w:ascii="Arial Narrow" w:hAnsi="Arial Narrow" w:cs="Times New Roman"/>
          <w:b/>
          <w:color w:val="222A35" w:themeColor="text2" w:themeShade="80"/>
          <w:sz w:val="28"/>
        </w:rPr>
      </w:pPr>
    </w:p>
    <w:p w:rsidR="007B5518" w:rsidRPr="004C0696" w:rsidRDefault="007B5518" w:rsidP="007B5518">
      <w:pPr>
        <w:spacing w:after="0" w:line="276" w:lineRule="auto"/>
        <w:jc w:val="center"/>
        <w:rPr>
          <w:rFonts w:ascii="Arial Narrow" w:hAnsi="Arial Narrow" w:cs="Times New Roman"/>
          <w:b/>
          <w:color w:val="222A35" w:themeColor="text2" w:themeShade="80"/>
          <w:sz w:val="28"/>
        </w:rPr>
      </w:pPr>
      <w:r w:rsidRPr="004C0696">
        <w:rPr>
          <w:rFonts w:ascii="Arial Narrow" w:hAnsi="Arial Narrow" w:cs="Times New Roman"/>
          <w:noProof/>
          <w:color w:val="222A35" w:themeColor="text2" w:themeShade="80"/>
          <w:sz w:val="28"/>
          <w:lang w:eastAsia="fr-FR"/>
        </w:rPr>
        <w:drawing>
          <wp:inline distT="0" distB="0" distL="0" distR="0" wp14:anchorId="2C8047DA" wp14:editId="50513D60">
            <wp:extent cx="894080" cy="894080"/>
            <wp:effectExtent l="0" t="0" r="1270" b="1270"/>
            <wp:docPr id="4" name="Image 47" descr="C:\Users\HASSOUMIOU\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SSOUMIOU\Desktop\téléchargement.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97592" cy="897592"/>
                    </a:xfrm>
                    <a:prstGeom prst="rect">
                      <a:avLst/>
                    </a:prstGeom>
                    <a:noFill/>
                    <a:ln>
                      <a:noFill/>
                    </a:ln>
                  </pic:spPr>
                </pic:pic>
              </a:graphicData>
            </a:graphic>
          </wp:inline>
        </w:drawing>
      </w:r>
    </w:p>
    <w:p w:rsidR="007B5518" w:rsidRDefault="007B5518" w:rsidP="007B5518">
      <w:pPr>
        <w:spacing w:after="0" w:line="276" w:lineRule="auto"/>
        <w:jc w:val="center"/>
        <w:rPr>
          <w:rFonts w:ascii="Arial Narrow" w:hAnsi="Arial Narrow" w:cs="Times New Roman"/>
          <w:b/>
          <w:color w:val="0070C0"/>
          <w:sz w:val="28"/>
        </w:rPr>
      </w:pPr>
      <w:r w:rsidRPr="004C0696">
        <w:rPr>
          <w:rFonts w:ascii="Arial Narrow" w:hAnsi="Arial Narrow" w:cs="Times New Roman"/>
          <w:b/>
          <w:color w:val="0070C0"/>
          <w:sz w:val="28"/>
        </w:rPr>
        <w:t>PROGRAMME INTEGREE POUR LA SECURITE DE L'EAU AU NIGER (PISEN)- P174414</w:t>
      </w:r>
    </w:p>
    <w:p w:rsidR="002B7F12" w:rsidRPr="004C0696" w:rsidRDefault="002B7F12" w:rsidP="007B5518">
      <w:pPr>
        <w:spacing w:after="0" w:line="276" w:lineRule="auto"/>
        <w:jc w:val="center"/>
        <w:rPr>
          <w:rFonts w:ascii="Arial Narrow" w:hAnsi="Arial Narrow" w:cs="Times New Roman"/>
          <w:b/>
          <w:color w:val="0070C0"/>
          <w:sz w:val="28"/>
        </w:rPr>
      </w:pPr>
    </w:p>
    <w:p w:rsidR="007B5518" w:rsidRDefault="007B5518">
      <w:r w:rsidRPr="005A51BD">
        <w:rPr>
          <w:rFonts w:ascii="Britannic Bold" w:hAnsi="Britannic Bold"/>
          <w:sz w:val="24"/>
          <w:szCs w:val="24"/>
        </w:rPr>
        <w:t xml:space="preserve">   </w:t>
      </w:r>
      <w:r w:rsidRPr="005A51BD">
        <w:rPr>
          <w:rFonts w:ascii="Britannic Bold" w:hAnsi="Britannic Bold"/>
          <w:sz w:val="32"/>
          <w:szCs w:val="32"/>
        </w:rPr>
        <w:t xml:space="preserve"> PLAN D’ENGAGEMENT ENVIRONNEMENTAL ET SOCIAL</w:t>
      </w:r>
      <w:r>
        <w:rPr>
          <w:rFonts w:ascii="Britannic Bold" w:hAnsi="Britannic Bold"/>
          <w:sz w:val="32"/>
          <w:szCs w:val="32"/>
        </w:rPr>
        <w:t xml:space="preserve"> </w:t>
      </w:r>
      <w:r w:rsidRPr="005A51BD">
        <w:rPr>
          <w:rFonts w:ascii="Arial Narrow" w:hAnsi="Arial Narrow"/>
          <w:sz w:val="32"/>
          <w:szCs w:val="32"/>
        </w:rPr>
        <w:t>(</w:t>
      </w:r>
      <w:r w:rsidRPr="005A51BD">
        <w:rPr>
          <w:rFonts w:ascii="Britannic Bold" w:hAnsi="Britannic Bold"/>
          <w:sz w:val="32"/>
          <w:szCs w:val="32"/>
        </w:rPr>
        <w:t>PEES</w:t>
      </w:r>
      <w:r w:rsidRPr="005A51BD">
        <w:rPr>
          <w:rFonts w:ascii="Arial Narrow" w:hAnsi="Arial Narrow"/>
          <w:sz w:val="32"/>
          <w:szCs w:val="32"/>
        </w:rPr>
        <w:t>)</w:t>
      </w:r>
    </w:p>
    <w:p w:rsidR="007B5518" w:rsidRDefault="007B5518" w:rsidP="007B5518">
      <w:pPr>
        <w:rPr>
          <w:rFonts w:ascii="Britannic Bold" w:hAnsi="Britannic Bold"/>
          <w:sz w:val="24"/>
          <w:szCs w:val="24"/>
        </w:rPr>
      </w:pPr>
    </w:p>
    <w:p w:rsidR="007B5518" w:rsidRPr="0026275E" w:rsidRDefault="007B5518" w:rsidP="007B5518">
      <w:pPr>
        <w:spacing w:line="276" w:lineRule="auto"/>
        <w:jc w:val="both"/>
        <w:rPr>
          <w:rFonts w:ascii="Arial Narrow" w:hAnsi="Arial Narrow"/>
          <w:sz w:val="24"/>
          <w:szCs w:val="24"/>
        </w:rPr>
      </w:pPr>
      <w:r w:rsidRPr="0026275E">
        <w:rPr>
          <w:rFonts w:ascii="Arial Narrow" w:hAnsi="Arial Narrow"/>
          <w:b/>
          <w:sz w:val="24"/>
          <w:szCs w:val="24"/>
        </w:rPr>
        <w:t>1</w:t>
      </w:r>
      <w:r w:rsidRPr="0026275E">
        <w:rPr>
          <w:rFonts w:ascii="Arial Narrow" w:hAnsi="Arial Narrow"/>
          <w:sz w:val="24"/>
          <w:szCs w:val="24"/>
        </w:rPr>
        <w:t xml:space="preserve">. Le Gouvernement du Niger prépare, avec le soutien technique et financier de la </w:t>
      </w:r>
      <w:r>
        <w:rPr>
          <w:rFonts w:ascii="Arial Narrow" w:hAnsi="Arial Narrow"/>
          <w:sz w:val="24"/>
          <w:szCs w:val="24"/>
        </w:rPr>
        <w:t xml:space="preserve">Banque Mondiale </w:t>
      </w:r>
      <w:r w:rsidRPr="0026275E">
        <w:rPr>
          <w:rFonts w:ascii="Arial Narrow" w:hAnsi="Arial Narrow"/>
          <w:sz w:val="24"/>
          <w:szCs w:val="24"/>
        </w:rPr>
        <w:t xml:space="preserve">(ci-après « la Banque »), le Programme Plateforme Intégrée pour la Sécurité de l’Eau au Niger </w:t>
      </w:r>
      <w:r w:rsidRPr="0026275E">
        <w:rPr>
          <w:rFonts w:ascii="Arial Narrow" w:hAnsi="Arial Narrow"/>
          <w:b/>
          <w:sz w:val="24"/>
          <w:szCs w:val="24"/>
        </w:rPr>
        <w:t>(PISEN)</w:t>
      </w:r>
      <w:r w:rsidRPr="0026275E">
        <w:rPr>
          <w:rFonts w:ascii="Arial Narrow" w:hAnsi="Arial Narrow"/>
          <w:sz w:val="24"/>
          <w:szCs w:val="24"/>
        </w:rPr>
        <w:t xml:space="preserve">. Le gouvernement prévoit la mise en œuvre du Programme à travers une Unité de Coordination et de Gestion du </w:t>
      </w:r>
      <w:r>
        <w:rPr>
          <w:rFonts w:ascii="Arial Narrow" w:hAnsi="Arial Narrow"/>
          <w:sz w:val="24"/>
          <w:szCs w:val="24"/>
        </w:rPr>
        <w:t>Programme</w:t>
      </w:r>
      <w:r w:rsidRPr="0026275E">
        <w:rPr>
          <w:rFonts w:ascii="Arial Narrow" w:hAnsi="Arial Narrow"/>
          <w:sz w:val="24"/>
          <w:szCs w:val="24"/>
        </w:rPr>
        <w:t xml:space="preserve"> (UGP) sous tutelle du </w:t>
      </w:r>
      <w:r w:rsidR="000F33D6">
        <w:rPr>
          <w:rFonts w:ascii="Arial Narrow" w:hAnsi="Arial Narrow"/>
          <w:sz w:val="24"/>
          <w:szCs w:val="24"/>
        </w:rPr>
        <w:t>Cabinet du Premier Ministre</w:t>
      </w:r>
      <w:r w:rsidRPr="0026275E">
        <w:rPr>
          <w:rFonts w:ascii="Arial Narrow" w:hAnsi="Arial Narrow"/>
          <w:sz w:val="24"/>
          <w:szCs w:val="24"/>
        </w:rPr>
        <w:t xml:space="preserve">. La Banque a convenu d’accorder un financement au </w:t>
      </w:r>
      <w:r>
        <w:rPr>
          <w:rFonts w:ascii="Arial Narrow" w:hAnsi="Arial Narrow"/>
          <w:sz w:val="24"/>
          <w:szCs w:val="24"/>
        </w:rPr>
        <w:t>Programme</w:t>
      </w:r>
      <w:r w:rsidRPr="0026275E">
        <w:rPr>
          <w:rFonts w:ascii="Arial Narrow" w:hAnsi="Arial Narrow"/>
          <w:sz w:val="24"/>
          <w:szCs w:val="24"/>
        </w:rPr>
        <w:t>.</w:t>
      </w:r>
    </w:p>
    <w:p w:rsidR="007B5518" w:rsidRPr="0026275E" w:rsidRDefault="007B5518" w:rsidP="007B5518">
      <w:pPr>
        <w:spacing w:line="276" w:lineRule="auto"/>
        <w:jc w:val="both"/>
        <w:rPr>
          <w:rFonts w:ascii="Arial Narrow" w:hAnsi="Arial Narrow"/>
          <w:sz w:val="24"/>
          <w:szCs w:val="24"/>
        </w:rPr>
      </w:pPr>
      <w:r w:rsidRPr="0026275E">
        <w:rPr>
          <w:rFonts w:ascii="Arial Narrow" w:hAnsi="Arial Narrow"/>
          <w:b/>
          <w:sz w:val="24"/>
          <w:szCs w:val="24"/>
        </w:rPr>
        <w:t>2</w:t>
      </w:r>
      <w:r w:rsidRPr="0026275E">
        <w:rPr>
          <w:rFonts w:ascii="Arial Narrow" w:hAnsi="Arial Narrow"/>
          <w:sz w:val="24"/>
          <w:szCs w:val="24"/>
        </w:rPr>
        <w:t xml:space="preserve">. Le gouvernement du Niger </w:t>
      </w:r>
      <w:r>
        <w:rPr>
          <w:rFonts w:ascii="Arial Narrow" w:hAnsi="Arial Narrow"/>
          <w:sz w:val="24"/>
          <w:szCs w:val="24"/>
        </w:rPr>
        <w:t xml:space="preserve">s’engage à </w:t>
      </w:r>
      <w:r w:rsidRPr="0026275E">
        <w:rPr>
          <w:rFonts w:ascii="Arial Narrow" w:hAnsi="Arial Narrow"/>
          <w:sz w:val="24"/>
          <w:szCs w:val="24"/>
        </w:rPr>
        <w:t>mettr</w:t>
      </w:r>
      <w:r>
        <w:rPr>
          <w:rFonts w:ascii="Arial Narrow" w:hAnsi="Arial Narrow"/>
          <w:sz w:val="24"/>
          <w:szCs w:val="24"/>
        </w:rPr>
        <w:t>e</w:t>
      </w:r>
      <w:r w:rsidRPr="0026275E">
        <w:rPr>
          <w:rFonts w:ascii="Arial Narrow" w:hAnsi="Arial Narrow"/>
          <w:sz w:val="24"/>
          <w:szCs w:val="24"/>
        </w:rPr>
        <w:t xml:space="preserve"> en œuvre les mesures et actions concrètes qui sont nécessaires pour faire en sorte que le </w:t>
      </w:r>
      <w:r w:rsidRPr="0026275E">
        <w:rPr>
          <w:rFonts w:ascii="Arial Narrow" w:hAnsi="Arial Narrow"/>
          <w:b/>
          <w:sz w:val="24"/>
          <w:szCs w:val="24"/>
        </w:rPr>
        <w:t>PISEN</w:t>
      </w:r>
      <w:r w:rsidRPr="0026275E">
        <w:rPr>
          <w:rFonts w:ascii="Arial Narrow" w:hAnsi="Arial Narrow"/>
          <w:sz w:val="24"/>
          <w:szCs w:val="24"/>
        </w:rPr>
        <w:t xml:space="preserve"> soit exécuté en conformité avec les dispositions législatives et règlementaires nationales en vigueur en matière de gestion de l’environnement et des risques sociaux et dans le respect des Normes environnementales et sociales (</w:t>
      </w:r>
      <w:r w:rsidRPr="0026275E">
        <w:rPr>
          <w:rFonts w:ascii="Arial Narrow" w:hAnsi="Arial Narrow"/>
          <w:b/>
          <w:sz w:val="24"/>
          <w:szCs w:val="24"/>
        </w:rPr>
        <w:t>NES</w:t>
      </w:r>
      <w:r w:rsidRPr="0026275E">
        <w:rPr>
          <w:rFonts w:ascii="Arial Narrow" w:hAnsi="Arial Narrow"/>
          <w:sz w:val="24"/>
          <w:szCs w:val="24"/>
        </w:rPr>
        <w:t>) de la Banque mondiale. Le présent Plan d’Engagement Environnemental et Social (</w:t>
      </w:r>
      <w:r w:rsidRPr="0026275E">
        <w:rPr>
          <w:rFonts w:ascii="Arial Narrow" w:hAnsi="Arial Narrow"/>
          <w:b/>
          <w:sz w:val="24"/>
          <w:szCs w:val="24"/>
        </w:rPr>
        <w:t>PEES</w:t>
      </w:r>
      <w:r w:rsidRPr="0026275E">
        <w:rPr>
          <w:rFonts w:ascii="Arial Narrow" w:hAnsi="Arial Narrow"/>
          <w:sz w:val="24"/>
          <w:szCs w:val="24"/>
        </w:rPr>
        <w:t>) est un document de synthèse qui énonce ces mesures et actions en matière de gestion efficace des risques environnementaux et sociaux associés aux activités du PISEN. Les détails de</w:t>
      </w:r>
      <w:r>
        <w:rPr>
          <w:rFonts w:ascii="Arial Narrow" w:hAnsi="Arial Narrow"/>
          <w:sz w:val="24"/>
          <w:szCs w:val="24"/>
        </w:rPr>
        <w:t xml:space="preserve"> ce</w:t>
      </w:r>
      <w:r w:rsidRPr="0026275E">
        <w:rPr>
          <w:rFonts w:ascii="Arial Narrow" w:hAnsi="Arial Narrow"/>
          <w:sz w:val="24"/>
          <w:szCs w:val="24"/>
        </w:rPr>
        <w:t xml:space="preserve">s mesures et actions sont ou seront dans les documents de gestion environnementale et sociale déjà disponibles ou à préparer notamment  </w:t>
      </w:r>
      <w:r w:rsidRPr="00215137">
        <w:rPr>
          <w:rFonts w:ascii="Arial Narrow" w:hAnsi="Arial Narrow"/>
          <w:sz w:val="24"/>
          <w:szCs w:val="24"/>
          <w:shd w:val="clear" w:color="auto" w:fill="FFFFFF"/>
        </w:rPr>
        <w:t>la Procédure de Gestion de la Main d’Œuvre (</w:t>
      </w:r>
      <w:r w:rsidRPr="00215137">
        <w:rPr>
          <w:rFonts w:ascii="Arial Narrow" w:hAnsi="Arial Narrow"/>
          <w:b/>
          <w:sz w:val="24"/>
          <w:szCs w:val="24"/>
          <w:shd w:val="clear" w:color="auto" w:fill="FFFFFF"/>
        </w:rPr>
        <w:t>PGMO</w:t>
      </w:r>
      <w:r w:rsidRPr="00215137">
        <w:rPr>
          <w:rFonts w:ascii="Arial Narrow" w:hAnsi="Arial Narrow"/>
          <w:sz w:val="24"/>
          <w:szCs w:val="24"/>
          <w:shd w:val="clear" w:color="auto" w:fill="FFFFFF"/>
        </w:rPr>
        <w:t xml:space="preserve">), le Cadre de </w:t>
      </w:r>
      <w:r w:rsidRPr="0026275E">
        <w:rPr>
          <w:rFonts w:ascii="Arial Narrow" w:hAnsi="Arial Narrow"/>
          <w:sz w:val="24"/>
          <w:szCs w:val="24"/>
        </w:rPr>
        <w:t>Gestion Environnementale et Sociale (</w:t>
      </w:r>
      <w:r w:rsidRPr="0026275E">
        <w:rPr>
          <w:rFonts w:ascii="Arial Narrow" w:hAnsi="Arial Narrow"/>
          <w:b/>
          <w:sz w:val="24"/>
          <w:szCs w:val="24"/>
        </w:rPr>
        <w:t>CGES),</w:t>
      </w:r>
      <w:r w:rsidRPr="0026275E">
        <w:rPr>
          <w:rFonts w:ascii="Arial Narrow" w:hAnsi="Arial Narrow"/>
          <w:sz w:val="24"/>
          <w:szCs w:val="24"/>
        </w:rPr>
        <w:t xml:space="preserve"> le Cadre de Politique de Réinstallation des Populations (</w:t>
      </w:r>
      <w:r w:rsidRPr="0026275E">
        <w:rPr>
          <w:rFonts w:ascii="Arial Narrow" w:hAnsi="Arial Narrow"/>
          <w:b/>
          <w:sz w:val="24"/>
          <w:szCs w:val="24"/>
        </w:rPr>
        <w:t>CPRP</w:t>
      </w:r>
      <w:r w:rsidRPr="0026275E">
        <w:rPr>
          <w:rFonts w:ascii="Arial Narrow" w:hAnsi="Arial Narrow"/>
          <w:sz w:val="24"/>
          <w:szCs w:val="24"/>
        </w:rPr>
        <w:t xml:space="preserve">), le Plan de Gestion </w:t>
      </w:r>
      <w:r>
        <w:rPr>
          <w:rFonts w:ascii="Arial Narrow" w:hAnsi="Arial Narrow"/>
          <w:sz w:val="24"/>
          <w:szCs w:val="24"/>
        </w:rPr>
        <w:t xml:space="preserve">Intégrée </w:t>
      </w:r>
      <w:r w:rsidRPr="0026275E">
        <w:rPr>
          <w:rFonts w:ascii="Arial Narrow" w:hAnsi="Arial Narrow"/>
          <w:sz w:val="24"/>
          <w:szCs w:val="24"/>
        </w:rPr>
        <w:t>des pestes et Pesticides (</w:t>
      </w:r>
      <w:r w:rsidRPr="0026275E">
        <w:rPr>
          <w:rFonts w:ascii="Arial Narrow" w:hAnsi="Arial Narrow"/>
          <w:b/>
          <w:sz w:val="24"/>
          <w:szCs w:val="24"/>
        </w:rPr>
        <w:t>PG</w:t>
      </w:r>
      <w:r>
        <w:rPr>
          <w:rFonts w:ascii="Arial Narrow" w:hAnsi="Arial Narrow"/>
          <w:b/>
          <w:sz w:val="24"/>
          <w:szCs w:val="24"/>
        </w:rPr>
        <w:t>IP</w:t>
      </w:r>
      <w:r w:rsidRPr="0026275E">
        <w:rPr>
          <w:rFonts w:ascii="Arial Narrow" w:hAnsi="Arial Narrow"/>
          <w:b/>
          <w:sz w:val="24"/>
          <w:szCs w:val="24"/>
        </w:rPr>
        <w:t>P</w:t>
      </w:r>
      <w:r w:rsidRPr="0026275E">
        <w:rPr>
          <w:rFonts w:ascii="Arial Narrow" w:hAnsi="Arial Narrow"/>
          <w:sz w:val="24"/>
          <w:szCs w:val="24"/>
        </w:rPr>
        <w:t>), le plan de gestion des ressources culturelles physiques</w:t>
      </w:r>
      <w:r>
        <w:rPr>
          <w:rFonts w:ascii="Arial Narrow" w:hAnsi="Arial Narrow"/>
          <w:sz w:val="24"/>
          <w:szCs w:val="24"/>
        </w:rPr>
        <w:t>(peut être pris en compte dans le CGES)</w:t>
      </w:r>
      <w:r w:rsidRPr="0026275E">
        <w:rPr>
          <w:rFonts w:ascii="Arial Narrow" w:hAnsi="Arial Narrow"/>
          <w:sz w:val="24"/>
          <w:szCs w:val="24"/>
        </w:rPr>
        <w:t xml:space="preserve"> et le plan de Gestion</w:t>
      </w:r>
      <w:r>
        <w:rPr>
          <w:rFonts w:ascii="Arial Narrow" w:hAnsi="Arial Narrow"/>
          <w:sz w:val="24"/>
          <w:szCs w:val="24"/>
        </w:rPr>
        <w:t xml:space="preserve"> durable des ressources naturelles </w:t>
      </w:r>
      <w:r w:rsidRPr="0026275E">
        <w:rPr>
          <w:rFonts w:ascii="Arial Narrow" w:hAnsi="Arial Narrow"/>
          <w:sz w:val="24"/>
          <w:szCs w:val="24"/>
        </w:rPr>
        <w:t>biologique</w:t>
      </w:r>
      <w:r>
        <w:rPr>
          <w:rFonts w:ascii="Arial Narrow" w:hAnsi="Arial Narrow"/>
          <w:sz w:val="24"/>
          <w:szCs w:val="24"/>
        </w:rPr>
        <w:t>s</w:t>
      </w:r>
      <w:r w:rsidRPr="0026275E">
        <w:rPr>
          <w:rFonts w:ascii="Arial Narrow" w:hAnsi="Arial Narrow"/>
          <w:sz w:val="24"/>
          <w:szCs w:val="24"/>
        </w:rPr>
        <w:t>.</w:t>
      </w:r>
    </w:p>
    <w:p w:rsidR="007B5518" w:rsidRPr="0026275E" w:rsidRDefault="007B5518" w:rsidP="007B5518">
      <w:pPr>
        <w:spacing w:line="276" w:lineRule="auto"/>
        <w:jc w:val="both"/>
        <w:rPr>
          <w:rFonts w:ascii="Arial Narrow" w:hAnsi="Arial Narrow"/>
          <w:sz w:val="24"/>
          <w:szCs w:val="24"/>
        </w:rPr>
      </w:pPr>
      <w:r w:rsidRPr="0026275E">
        <w:rPr>
          <w:rFonts w:ascii="Arial Narrow" w:hAnsi="Arial Narrow"/>
          <w:b/>
          <w:sz w:val="24"/>
          <w:szCs w:val="24"/>
        </w:rPr>
        <w:t>3</w:t>
      </w:r>
      <w:r w:rsidRPr="0026275E">
        <w:rPr>
          <w:rFonts w:ascii="Arial Narrow" w:hAnsi="Arial Narrow"/>
          <w:sz w:val="24"/>
          <w:szCs w:val="24"/>
        </w:rPr>
        <w:t xml:space="preserve">. Le présent </w:t>
      </w:r>
      <w:r w:rsidRPr="0026275E">
        <w:rPr>
          <w:rFonts w:ascii="Arial Narrow" w:hAnsi="Arial Narrow"/>
          <w:b/>
          <w:sz w:val="24"/>
          <w:szCs w:val="24"/>
        </w:rPr>
        <w:t>PEES</w:t>
      </w:r>
      <w:r w:rsidRPr="0026275E">
        <w:rPr>
          <w:rFonts w:ascii="Arial Narrow" w:hAnsi="Arial Narrow"/>
          <w:sz w:val="24"/>
          <w:szCs w:val="24"/>
        </w:rPr>
        <w:t xml:space="preserve"> exige le respect de l’exécution des dispositions énoncées dans le Plan d</w:t>
      </w:r>
      <w:r>
        <w:rPr>
          <w:rFonts w:ascii="Arial Narrow" w:hAnsi="Arial Narrow"/>
          <w:sz w:val="24"/>
          <w:szCs w:val="24"/>
        </w:rPr>
        <w:t>e Mobilisation</w:t>
      </w:r>
      <w:r w:rsidRPr="0026275E">
        <w:rPr>
          <w:rFonts w:ascii="Arial Narrow" w:hAnsi="Arial Narrow"/>
          <w:sz w:val="24"/>
          <w:szCs w:val="24"/>
        </w:rPr>
        <w:t xml:space="preserve"> des Parties Prenantes (</w:t>
      </w:r>
      <w:r w:rsidRPr="0026275E">
        <w:rPr>
          <w:rFonts w:ascii="Arial Narrow" w:hAnsi="Arial Narrow"/>
          <w:b/>
          <w:sz w:val="24"/>
          <w:szCs w:val="24"/>
        </w:rPr>
        <w:t>P</w:t>
      </w:r>
      <w:r>
        <w:rPr>
          <w:rFonts w:ascii="Arial Narrow" w:hAnsi="Arial Narrow"/>
          <w:b/>
          <w:sz w:val="24"/>
          <w:szCs w:val="24"/>
        </w:rPr>
        <w:t>M</w:t>
      </w:r>
      <w:r w:rsidRPr="0026275E">
        <w:rPr>
          <w:rFonts w:ascii="Arial Narrow" w:hAnsi="Arial Narrow"/>
          <w:b/>
          <w:sz w:val="24"/>
          <w:szCs w:val="24"/>
        </w:rPr>
        <w:t>PP</w:t>
      </w:r>
      <w:r w:rsidRPr="0026275E">
        <w:rPr>
          <w:rFonts w:ascii="Arial Narrow" w:hAnsi="Arial Narrow"/>
          <w:sz w:val="24"/>
          <w:szCs w:val="24"/>
        </w:rPr>
        <w:t xml:space="preserve">) et dans les documents de gestion environnementale et sociale cités ci-dessus.  </w:t>
      </w:r>
    </w:p>
    <w:p w:rsidR="007B5518" w:rsidRPr="0026275E" w:rsidRDefault="007B5518" w:rsidP="007B5518">
      <w:pPr>
        <w:spacing w:line="276" w:lineRule="auto"/>
        <w:jc w:val="both"/>
        <w:rPr>
          <w:rFonts w:ascii="Arial Narrow" w:hAnsi="Arial Narrow"/>
          <w:sz w:val="24"/>
          <w:szCs w:val="24"/>
        </w:rPr>
      </w:pPr>
      <w:r w:rsidRPr="0026275E">
        <w:rPr>
          <w:rFonts w:ascii="Arial Narrow" w:hAnsi="Arial Narrow"/>
          <w:b/>
          <w:sz w:val="24"/>
          <w:szCs w:val="24"/>
        </w:rPr>
        <w:t>4</w:t>
      </w:r>
      <w:r w:rsidRPr="0026275E">
        <w:rPr>
          <w:rFonts w:ascii="Arial Narrow" w:hAnsi="Arial Narrow"/>
          <w:sz w:val="24"/>
          <w:szCs w:val="24"/>
        </w:rPr>
        <w:t xml:space="preserve">. La mise en œuvre des mesures et actions concrètes définies dans le présent </w:t>
      </w:r>
      <w:r w:rsidRPr="0026275E">
        <w:rPr>
          <w:rFonts w:ascii="Arial Narrow" w:hAnsi="Arial Narrow"/>
          <w:b/>
          <w:sz w:val="24"/>
          <w:szCs w:val="24"/>
        </w:rPr>
        <w:t>PEES</w:t>
      </w:r>
      <w:r w:rsidRPr="0026275E">
        <w:rPr>
          <w:rFonts w:ascii="Arial Narrow" w:hAnsi="Arial Narrow"/>
          <w:sz w:val="24"/>
          <w:szCs w:val="24"/>
        </w:rPr>
        <w:t xml:space="preserve"> fera l’objet d’un suivi de la part du gouvernement du Niger </w:t>
      </w:r>
      <w:r>
        <w:rPr>
          <w:rFonts w:ascii="Arial Narrow" w:hAnsi="Arial Narrow"/>
          <w:sz w:val="24"/>
          <w:szCs w:val="24"/>
        </w:rPr>
        <w:t>qui</w:t>
      </w:r>
      <w:r w:rsidRPr="0026275E">
        <w:rPr>
          <w:rFonts w:ascii="Arial Narrow" w:hAnsi="Arial Narrow"/>
          <w:sz w:val="24"/>
          <w:szCs w:val="24"/>
        </w:rPr>
        <w:t xml:space="preserve"> </w:t>
      </w:r>
      <w:r>
        <w:rPr>
          <w:rFonts w:ascii="Arial Narrow" w:hAnsi="Arial Narrow"/>
          <w:sz w:val="24"/>
          <w:szCs w:val="24"/>
        </w:rPr>
        <w:t xml:space="preserve">transmettra régulièrement les </w:t>
      </w:r>
      <w:r w:rsidRPr="0026275E">
        <w:rPr>
          <w:rFonts w:ascii="Arial Narrow" w:hAnsi="Arial Narrow"/>
          <w:sz w:val="24"/>
          <w:szCs w:val="24"/>
        </w:rPr>
        <w:t xml:space="preserve">rapports </w:t>
      </w:r>
      <w:r>
        <w:rPr>
          <w:rFonts w:ascii="Arial Narrow" w:hAnsi="Arial Narrow"/>
          <w:sz w:val="24"/>
          <w:szCs w:val="24"/>
        </w:rPr>
        <w:t xml:space="preserve">de suivi </w:t>
      </w:r>
      <w:r w:rsidRPr="0026275E">
        <w:rPr>
          <w:rFonts w:ascii="Arial Narrow" w:hAnsi="Arial Narrow"/>
          <w:sz w:val="24"/>
          <w:szCs w:val="24"/>
        </w:rPr>
        <w:t xml:space="preserve">à la </w:t>
      </w:r>
      <w:r>
        <w:rPr>
          <w:rFonts w:ascii="Arial Narrow" w:hAnsi="Arial Narrow"/>
          <w:sz w:val="24"/>
          <w:szCs w:val="24"/>
        </w:rPr>
        <w:t xml:space="preserve">Banque Mondiale suivant une fréquence  trimestrielle </w:t>
      </w:r>
      <w:r w:rsidRPr="0026275E">
        <w:rPr>
          <w:rFonts w:ascii="Arial Narrow" w:hAnsi="Arial Narrow"/>
          <w:sz w:val="24"/>
          <w:szCs w:val="24"/>
        </w:rPr>
        <w:t xml:space="preserve">en application des dispositions du </w:t>
      </w:r>
      <w:r w:rsidRPr="0026275E">
        <w:rPr>
          <w:rFonts w:ascii="Arial Narrow" w:hAnsi="Arial Narrow"/>
          <w:b/>
          <w:sz w:val="24"/>
          <w:szCs w:val="24"/>
        </w:rPr>
        <w:t xml:space="preserve">PEES </w:t>
      </w:r>
      <w:r w:rsidRPr="0026275E">
        <w:rPr>
          <w:rFonts w:ascii="Arial Narrow" w:hAnsi="Arial Narrow"/>
          <w:sz w:val="24"/>
          <w:szCs w:val="24"/>
        </w:rPr>
        <w:t xml:space="preserve">et des conditions de l’accord juridique, tandis que la </w:t>
      </w:r>
      <w:r>
        <w:rPr>
          <w:rFonts w:ascii="Arial Narrow" w:hAnsi="Arial Narrow"/>
          <w:sz w:val="24"/>
          <w:szCs w:val="24"/>
        </w:rPr>
        <w:t xml:space="preserve">Banque Mondiale </w:t>
      </w:r>
      <w:r w:rsidRPr="0026275E">
        <w:rPr>
          <w:rFonts w:ascii="Arial Narrow" w:hAnsi="Arial Narrow"/>
          <w:sz w:val="24"/>
          <w:szCs w:val="24"/>
        </w:rPr>
        <w:t xml:space="preserve">assurera le suivi-évaluation de l’avancement et de la réalisation de ces mesures et actions concrètes tout au long de la mise en œuvre du </w:t>
      </w:r>
      <w:r>
        <w:rPr>
          <w:rFonts w:ascii="Arial Narrow" w:hAnsi="Arial Narrow"/>
          <w:sz w:val="24"/>
          <w:szCs w:val="24"/>
        </w:rPr>
        <w:t>Programme</w:t>
      </w:r>
      <w:r w:rsidRPr="0026275E">
        <w:rPr>
          <w:rFonts w:ascii="Arial Narrow" w:hAnsi="Arial Narrow"/>
          <w:sz w:val="24"/>
          <w:szCs w:val="24"/>
        </w:rPr>
        <w:t>.</w:t>
      </w:r>
    </w:p>
    <w:p w:rsidR="007B5518" w:rsidRPr="0026275E" w:rsidRDefault="007B5518" w:rsidP="007B5518">
      <w:pPr>
        <w:spacing w:line="276" w:lineRule="auto"/>
        <w:jc w:val="both"/>
        <w:rPr>
          <w:rFonts w:ascii="Arial Narrow" w:hAnsi="Arial Narrow"/>
          <w:sz w:val="24"/>
          <w:szCs w:val="24"/>
        </w:rPr>
      </w:pPr>
      <w:r w:rsidRPr="0026275E">
        <w:rPr>
          <w:rFonts w:ascii="Arial Narrow" w:hAnsi="Arial Narrow"/>
          <w:b/>
          <w:sz w:val="24"/>
          <w:szCs w:val="24"/>
        </w:rPr>
        <w:lastRenderedPageBreak/>
        <w:t>5</w:t>
      </w:r>
      <w:r w:rsidRPr="0026275E">
        <w:rPr>
          <w:rFonts w:ascii="Arial Narrow" w:hAnsi="Arial Narrow"/>
          <w:sz w:val="24"/>
          <w:szCs w:val="24"/>
        </w:rPr>
        <w:t xml:space="preserve">. Comme convenu par la </w:t>
      </w:r>
      <w:r>
        <w:rPr>
          <w:rFonts w:ascii="Arial Narrow" w:hAnsi="Arial Narrow"/>
          <w:sz w:val="24"/>
          <w:szCs w:val="24"/>
        </w:rPr>
        <w:t xml:space="preserve">Banque Mondiale </w:t>
      </w:r>
      <w:r w:rsidRPr="0026275E">
        <w:rPr>
          <w:rFonts w:ascii="Arial Narrow" w:hAnsi="Arial Narrow"/>
          <w:sz w:val="24"/>
          <w:szCs w:val="24"/>
        </w:rPr>
        <w:t xml:space="preserve">et le Gouvernement du Niger, le présent </w:t>
      </w:r>
      <w:r w:rsidRPr="0026275E">
        <w:rPr>
          <w:rFonts w:ascii="Arial Narrow" w:hAnsi="Arial Narrow"/>
          <w:b/>
          <w:sz w:val="24"/>
          <w:szCs w:val="24"/>
        </w:rPr>
        <w:t xml:space="preserve">PEES </w:t>
      </w:r>
      <w:r w:rsidRPr="0026275E">
        <w:rPr>
          <w:rFonts w:ascii="Arial Narrow" w:hAnsi="Arial Narrow"/>
          <w:sz w:val="24"/>
          <w:szCs w:val="24"/>
        </w:rPr>
        <w:t xml:space="preserve">peut être révisé au besoin durant la mise en œuvre du </w:t>
      </w:r>
      <w:r w:rsidRPr="0026275E">
        <w:rPr>
          <w:rFonts w:ascii="Arial Narrow" w:hAnsi="Arial Narrow"/>
          <w:b/>
          <w:sz w:val="24"/>
          <w:szCs w:val="24"/>
        </w:rPr>
        <w:t>PISEN,</w:t>
      </w:r>
      <w:r w:rsidRPr="0026275E">
        <w:rPr>
          <w:rFonts w:ascii="Arial Narrow" w:hAnsi="Arial Narrow"/>
          <w:sz w:val="24"/>
          <w:szCs w:val="24"/>
        </w:rPr>
        <w:t xml:space="preserve"> d’une façon qui rend compte de la gestion adaptative des changements ou des situations imprévues pouvant survenir au cours de l’exécution du PISEN, ou en réponse à une évaluation de la performance du PISEN réalisée en vertu du présent </w:t>
      </w:r>
      <w:r w:rsidRPr="0026275E">
        <w:rPr>
          <w:rFonts w:ascii="Arial Narrow" w:hAnsi="Arial Narrow"/>
          <w:b/>
          <w:sz w:val="24"/>
          <w:szCs w:val="24"/>
        </w:rPr>
        <w:t>PEES.</w:t>
      </w:r>
      <w:r w:rsidRPr="0026275E">
        <w:rPr>
          <w:rFonts w:ascii="Arial Narrow" w:hAnsi="Arial Narrow"/>
          <w:sz w:val="24"/>
          <w:szCs w:val="24"/>
        </w:rPr>
        <w:t xml:space="preserve"> Dans de telles situations, le gouvernement de la République du Niger conviendra des éventuels changements avec la Banque et révisera le PEES en conséquence. L’accord sur les modifications apportées au </w:t>
      </w:r>
      <w:r w:rsidRPr="0026275E">
        <w:rPr>
          <w:rFonts w:ascii="Arial Narrow" w:hAnsi="Arial Narrow"/>
          <w:b/>
          <w:sz w:val="24"/>
          <w:szCs w:val="24"/>
        </w:rPr>
        <w:t xml:space="preserve">PEES </w:t>
      </w:r>
      <w:r w:rsidRPr="0026275E">
        <w:rPr>
          <w:rFonts w:ascii="Arial Narrow" w:hAnsi="Arial Narrow"/>
          <w:sz w:val="24"/>
          <w:szCs w:val="24"/>
        </w:rPr>
        <w:t xml:space="preserve">sera attesté par l’échange de lettres signées entre la Banque et le gouvernement du Niger. Ce dernier publiera sans délai le </w:t>
      </w:r>
      <w:r w:rsidRPr="0026275E">
        <w:rPr>
          <w:rFonts w:ascii="Arial Narrow" w:hAnsi="Arial Narrow"/>
          <w:b/>
          <w:sz w:val="24"/>
          <w:szCs w:val="24"/>
        </w:rPr>
        <w:t>PEES</w:t>
      </w:r>
      <w:r w:rsidRPr="0026275E">
        <w:rPr>
          <w:rFonts w:ascii="Arial Narrow" w:hAnsi="Arial Narrow"/>
          <w:sz w:val="24"/>
          <w:szCs w:val="24"/>
        </w:rPr>
        <w:t xml:space="preserve"> révisé et en partagera la preuve avec la Banque.</w:t>
      </w:r>
    </w:p>
    <w:p w:rsidR="007B5518" w:rsidRDefault="007B5518" w:rsidP="007B5518">
      <w:pPr>
        <w:spacing w:line="276" w:lineRule="auto"/>
        <w:jc w:val="both"/>
        <w:rPr>
          <w:rFonts w:ascii="Arial Narrow" w:hAnsi="Arial Narrow"/>
          <w:sz w:val="24"/>
          <w:szCs w:val="24"/>
        </w:rPr>
      </w:pPr>
      <w:r w:rsidRPr="0026275E">
        <w:rPr>
          <w:rFonts w:ascii="Arial Narrow" w:hAnsi="Arial Narrow"/>
          <w:b/>
          <w:sz w:val="24"/>
          <w:szCs w:val="24"/>
        </w:rPr>
        <w:t>6</w:t>
      </w:r>
      <w:r w:rsidRPr="0026275E">
        <w:rPr>
          <w:rFonts w:ascii="Arial Narrow" w:hAnsi="Arial Narrow"/>
          <w:sz w:val="24"/>
          <w:szCs w:val="24"/>
        </w:rPr>
        <w:t>. Lorsque du fait de la performance de gestion des risques environnementaux et sociaux ou des situations imprévues, des changements sont survenus , une évolution des risques et des impacts négatifs apparait durant le processus de préparation ou de mise en œuvre du PISEN, le gouvernement du Niger met à disposition des fonds additionnels pour la mise en œuvre des actions et des mesures permettant de faire face à ces risques et impacts négatifs supplémentaires</w:t>
      </w:r>
      <w:r>
        <w:rPr>
          <w:rFonts w:ascii="Arial Narrow" w:hAnsi="Arial Narrow"/>
          <w:sz w:val="24"/>
          <w:szCs w:val="24"/>
        </w:rPr>
        <w:t>. Ces risques</w:t>
      </w:r>
      <w:r w:rsidRPr="0026275E">
        <w:rPr>
          <w:rFonts w:ascii="Arial Narrow" w:hAnsi="Arial Narrow"/>
          <w:sz w:val="24"/>
          <w:szCs w:val="24"/>
        </w:rPr>
        <w:t xml:space="preserve"> peuvent comprendre</w:t>
      </w:r>
      <w:r>
        <w:rPr>
          <w:rFonts w:ascii="Arial Narrow" w:hAnsi="Arial Narrow"/>
          <w:sz w:val="24"/>
          <w:szCs w:val="24"/>
        </w:rPr>
        <w:t>, entre autres :</w:t>
      </w:r>
    </w:p>
    <w:p w:rsidR="007B5518" w:rsidRDefault="007B5518" w:rsidP="007B5518">
      <w:pPr>
        <w:numPr>
          <w:ilvl w:val="0"/>
          <w:numId w:val="1"/>
        </w:numPr>
        <w:spacing w:after="0" w:line="276" w:lineRule="auto"/>
        <w:ind w:left="765" w:hanging="357"/>
        <w:jc w:val="both"/>
        <w:rPr>
          <w:rFonts w:ascii="Arial Narrow" w:hAnsi="Arial Narrow"/>
          <w:sz w:val="24"/>
          <w:szCs w:val="24"/>
        </w:rPr>
      </w:pPr>
      <w:r w:rsidRPr="0026275E">
        <w:rPr>
          <w:rFonts w:ascii="Arial Narrow" w:hAnsi="Arial Narrow"/>
          <w:sz w:val="24"/>
          <w:szCs w:val="24"/>
        </w:rPr>
        <w:t>Les risques de pollution des sols, des cours et</w:t>
      </w:r>
      <w:r>
        <w:rPr>
          <w:rFonts w:ascii="Arial Narrow" w:hAnsi="Arial Narrow"/>
          <w:sz w:val="24"/>
          <w:szCs w:val="24"/>
        </w:rPr>
        <w:t>/ou</w:t>
      </w:r>
      <w:r w:rsidRPr="0026275E">
        <w:rPr>
          <w:rFonts w:ascii="Arial Narrow" w:hAnsi="Arial Narrow"/>
          <w:sz w:val="24"/>
          <w:szCs w:val="24"/>
        </w:rPr>
        <w:t xml:space="preserve"> plans d’eau, </w:t>
      </w:r>
    </w:p>
    <w:p w:rsidR="007B5518" w:rsidRDefault="007B5518" w:rsidP="007B5518">
      <w:pPr>
        <w:numPr>
          <w:ilvl w:val="0"/>
          <w:numId w:val="1"/>
        </w:numPr>
        <w:spacing w:after="0" w:line="276" w:lineRule="auto"/>
        <w:ind w:left="765" w:hanging="357"/>
        <w:jc w:val="both"/>
        <w:rPr>
          <w:rFonts w:ascii="Arial Narrow" w:hAnsi="Arial Narrow"/>
          <w:sz w:val="24"/>
          <w:szCs w:val="24"/>
        </w:rPr>
      </w:pPr>
      <w:r w:rsidRPr="0026275E">
        <w:rPr>
          <w:rFonts w:ascii="Arial Narrow" w:hAnsi="Arial Narrow"/>
          <w:sz w:val="24"/>
          <w:szCs w:val="24"/>
        </w:rPr>
        <w:t xml:space="preserve">Les intoxications par les pesticides, </w:t>
      </w:r>
    </w:p>
    <w:p w:rsidR="007B5518" w:rsidRDefault="007B5518" w:rsidP="007B5518">
      <w:pPr>
        <w:numPr>
          <w:ilvl w:val="0"/>
          <w:numId w:val="1"/>
        </w:numPr>
        <w:spacing w:after="0" w:line="276" w:lineRule="auto"/>
        <w:ind w:left="765" w:hanging="357"/>
        <w:jc w:val="both"/>
        <w:rPr>
          <w:rFonts w:ascii="Arial Narrow" w:hAnsi="Arial Narrow"/>
          <w:sz w:val="24"/>
          <w:szCs w:val="24"/>
        </w:rPr>
      </w:pPr>
      <w:r w:rsidRPr="0026275E">
        <w:rPr>
          <w:rFonts w:ascii="Arial Narrow" w:hAnsi="Arial Narrow"/>
          <w:sz w:val="24"/>
          <w:szCs w:val="24"/>
        </w:rPr>
        <w:t xml:space="preserve">Les risques d’accidents de travail, </w:t>
      </w:r>
    </w:p>
    <w:p w:rsidR="007B5518" w:rsidRDefault="007B5518" w:rsidP="007B5518">
      <w:pPr>
        <w:numPr>
          <w:ilvl w:val="0"/>
          <w:numId w:val="1"/>
        </w:numPr>
        <w:spacing w:after="0" w:line="276" w:lineRule="auto"/>
        <w:ind w:left="765" w:hanging="357"/>
        <w:jc w:val="both"/>
        <w:rPr>
          <w:rFonts w:ascii="Arial Narrow" w:hAnsi="Arial Narrow"/>
          <w:sz w:val="24"/>
          <w:szCs w:val="24"/>
        </w:rPr>
      </w:pPr>
      <w:r w:rsidRPr="0026275E">
        <w:rPr>
          <w:rFonts w:ascii="Arial Narrow" w:hAnsi="Arial Narrow"/>
          <w:sz w:val="24"/>
          <w:szCs w:val="24"/>
        </w:rPr>
        <w:t xml:space="preserve">Les risques liés à la pression foncière, aux conflits fonciers et à la transhumance, </w:t>
      </w:r>
    </w:p>
    <w:p w:rsidR="007B5518" w:rsidRDefault="007B5518" w:rsidP="007B5518">
      <w:pPr>
        <w:numPr>
          <w:ilvl w:val="0"/>
          <w:numId w:val="1"/>
        </w:numPr>
        <w:spacing w:after="0" w:line="276" w:lineRule="auto"/>
        <w:ind w:left="765" w:hanging="357"/>
        <w:jc w:val="both"/>
        <w:rPr>
          <w:rFonts w:ascii="Arial Narrow" w:hAnsi="Arial Narrow"/>
          <w:sz w:val="24"/>
          <w:szCs w:val="24"/>
        </w:rPr>
      </w:pPr>
      <w:r w:rsidRPr="0026275E">
        <w:rPr>
          <w:rFonts w:ascii="Arial Narrow" w:hAnsi="Arial Narrow"/>
          <w:sz w:val="24"/>
          <w:szCs w:val="24"/>
        </w:rPr>
        <w:t xml:space="preserve">L’afflux de la main-d’œuvre, </w:t>
      </w:r>
    </w:p>
    <w:p w:rsidR="007B5518" w:rsidRDefault="007B5518" w:rsidP="007B5518">
      <w:pPr>
        <w:numPr>
          <w:ilvl w:val="0"/>
          <w:numId w:val="1"/>
        </w:numPr>
        <w:spacing w:after="0" w:line="276" w:lineRule="auto"/>
        <w:ind w:left="765" w:hanging="357"/>
        <w:jc w:val="both"/>
        <w:rPr>
          <w:rFonts w:ascii="Arial Narrow" w:hAnsi="Arial Narrow"/>
          <w:sz w:val="24"/>
          <w:szCs w:val="24"/>
        </w:rPr>
      </w:pPr>
      <w:r w:rsidRPr="0026275E">
        <w:rPr>
          <w:rFonts w:ascii="Arial Narrow" w:hAnsi="Arial Narrow"/>
          <w:sz w:val="24"/>
          <w:szCs w:val="24"/>
        </w:rPr>
        <w:t>L</w:t>
      </w:r>
      <w:r>
        <w:rPr>
          <w:rFonts w:ascii="Arial Narrow" w:hAnsi="Arial Narrow"/>
          <w:sz w:val="24"/>
          <w:szCs w:val="24"/>
        </w:rPr>
        <w:t>es risques liés à la santé publique (</w:t>
      </w:r>
      <w:r w:rsidRPr="0026275E">
        <w:rPr>
          <w:rFonts w:ascii="Arial Narrow" w:hAnsi="Arial Narrow"/>
          <w:sz w:val="24"/>
          <w:szCs w:val="24"/>
        </w:rPr>
        <w:t xml:space="preserve">augmentation d’infections liées aux IST au VIH, et </w:t>
      </w:r>
      <w:r>
        <w:rPr>
          <w:rFonts w:ascii="Arial Narrow" w:hAnsi="Arial Narrow"/>
          <w:sz w:val="24"/>
          <w:szCs w:val="24"/>
        </w:rPr>
        <w:t>à la</w:t>
      </w:r>
      <w:r w:rsidRPr="0026275E">
        <w:rPr>
          <w:rFonts w:ascii="Arial Narrow" w:hAnsi="Arial Narrow"/>
          <w:sz w:val="24"/>
          <w:szCs w:val="24"/>
        </w:rPr>
        <w:t xml:space="preserve"> covid-19</w:t>
      </w:r>
      <w:r>
        <w:rPr>
          <w:rFonts w:ascii="Arial Narrow" w:hAnsi="Arial Narrow"/>
          <w:sz w:val="24"/>
          <w:szCs w:val="24"/>
        </w:rPr>
        <w:t>, etc.)</w:t>
      </w:r>
      <w:r w:rsidRPr="0026275E">
        <w:rPr>
          <w:rFonts w:ascii="Arial Narrow" w:hAnsi="Arial Narrow"/>
          <w:sz w:val="24"/>
          <w:szCs w:val="24"/>
        </w:rPr>
        <w:t xml:space="preserve">, </w:t>
      </w:r>
    </w:p>
    <w:p w:rsidR="007B5518" w:rsidRDefault="007B5518" w:rsidP="007B5518">
      <w:pPr>
        <w:numPr>
          <w:ilvl w:val="0"/>
          <w:numId w:val="1"/>
        </w:numPr>
        <w:spacing w:after="0" w:line="276" w:lineRule="auto"/>
        <w:ind w:left="765" w:hanging="357"/>
        <w:jc w:val="both"/>
        <w:rPr>
          <w:rFonts w:ascii="Arial Narrow" w:hAnsi="Arial Narrow"/>
          <w:sz w:val="24"/>
          <w:szCs w:val="24"/>
        </w:rPr>
      </w:pPr>
      <w:r w:rsidRPr="0026275E">
        <w:rPr>
          <w:rFonts w:ascii="Arial Narrow" w:hAnsi="Arial Narrow"/>
          <w:sz w:val="24"/>
          <w:szCs w:val="24"/>
        </w:rPr>
        <w:t>L</w:t>
      </w:r>
      <w:r>
        <w:rPr>
          <w:rFonts w:ascii="Arial Narrow" w:hAnsi="Arial Narrow"/>
          <w:sz w:val="24"/>
          <w:szCs w:val="24"/>
        </w:rPr>
        <w:t xml:space="preserve">e risque d’exclusion et de </w:t>
      </w:r>
      <w:r w:rsidRPr="0026275E">
        <w:rPr>
          <w:rFonts w:ascii="Arial Narrow" w:hAnsi="Arial Narrow"/>
          <w:sz w:val="24"/>
          <w:szCs w:val="24"/>
        </w:rPr>
        <w:t xml:space="preserve">discrimination basée sur le genre, les déficiences ou handicap, les personnes vulnérables, </w:t>
      </w:r>
    </w:p>
    <w:p w:rsidR="007B5518" w:rsidRPr="0026275E" w:rsidRDefault="007B5518" w:rsidP="007B5518">
      <w:pPr>
        <w:numPr>
          <w:ilvl w:val="0"/>
          <w:numId w:val="1"/>
        </w:numPr>
        <w:spacing w:after="240" w:line="276" w:lineRule="auto"/>
        <w:ind w:left="765" w:hanging="357"/>
        <w:jc w:val="both"/>
        <w:rPr>
          <w:rFonts w:ascii="Arial Narrow" w:hAnsi="Arial Narrow"/>
          <w:sz w:val="24"/>
          <w:szCs w:val="24"/>
        </w:rPr>
      </w:pPr>
      <w:r>
        <w:rPr>
          <w:rFonts w:ascii="Arial Narrow" w:hAnsi="Arial Narrow"/>
          <w:sz w:val="24"/>
          <w:szCs w:val="24"/>
        </w:rPr>
        <w:t xml:space="preserve">Les risques de </w:t>
      </w:r>
      <w:r w:rsidRPr="0026275E">
        <w:rPr>
          <w:rFonts w:ascii="Arial Narrow" w:hAnsi="Arial Narrow"/>
          <w:sz w:val="24"/>
          <w:szCs w:val="24"/>
        </w:rPr>
        <w:t>violences basées sur le genre</w:t>
      </w:r>
      <w:r>
        <w:rPr>
          <w:rFonts w:ascii="Arial Narrow" w:hAnsi="Arial Narrow"/>
          <w:sz w:val="24"/>
          <w:szCs w:val="24"/>
        </w:rPr>
        <w:t xml:space="preserve"> et </w:t>
      </w:r>
      <w:r w:rsidRPr="0026275E">
        <w:rPr>
          <w:rFonts w:ascii="Arial Narrow" w:hAnsi="Arial Narrow"/>
          <w:sz w:val="24"/>
          <w:szCs w:val="24"/>
        </w:rPr>
        <w:t>contre les enfants, etc…</w:t>
      </w:r>
    </w:p>
    <w:p w:rsidR="007B5518" w:rsidRDefault="007B5518" w:rsidP="007B5518">
      <w:pPr>
        <w:spacing w:line="276" w:lineRule="auto"/>
        <w:jc w:val="both"/>
        <w:rPr>
          <w:rFonts w:ascii="Arial Narrow" w:hAnsi="Arial Narrow"/>
          <w:sz w:val="24"/>
          <w:szCs w:val="24"/>
        </w:rPr>
      </w:pPr>
      <w:r w:rsidRPr="0026275E">
        <w:rPr>
          <w:rFonts w:ascii="Arial Narrow" w:hAnsi="Arial Narrow"/>
          <w:b/>
          <w:sz w:val="24"/>
          <w:szCs w:val="24"/>
        </w:rPr>
        <w:t>7</w:t>
      </w:r>
      <w:r w:rsidRPr="0026275E">
        <w:rPr>
          <w:rFonts w:ascii="Arial Narrow" w:hAnsi="Arial Narrow"/>
          <w:sz w:val="24"/>
          <w:szCs w:val="24"/>
        </w:rPr>
        <w:t xml:space="preserve">. Le récapitulatif des mesures et actions concrètes nécessaires, les responsables de mise en œuvre, le calendrier d’exécution, les ressources nécessaires (budgets) et la source du financement à engager ainsi que les délais de réalisation pour chacune des actions retenues sont illustrés dans </w:t>
      </w:r>
      <w:r>
        <w:rPr>
          <w:rFonts w:ascii="Arial Narrow" w:hAnsi="Arial Narrow"/>
          <w:sz w:val="24"/>
          <w:szCs w:val="24"/>
        </w:rPr>
        <w:t>un</w:t>
      </w:r>
      <w:r w:rsidRPr="0026275E">
        <w:rPr>
          <w:rFonts w:ascii="Arial Narrow" w:hAnsi="Arial Narrow"/>
          <w:sz w:val="24"/>
          <w:szCs w:val="24"/>
        </w:rPr>
        <w:t xml:space="preserve"> tableau </w:t>
      </w:r>
      <w:r>
        <w:rPr>
          <w:rFonts w:ascii="Arial Narrow" w:hAnsi="Arial Narrow"/>
          <w:sz w:val="24"/>
          <w:szCs w:val="24"/>
        </w:rPr>
        <w:t>du PEES</w:t>
      </w:r>
      <w:r w:rsidRPr="0026275E">
        <w:rPr>
          <w:rFonts w:ascii="Arial Narrow" w:hAnsi="Arial Narrow"/>
          <w:sz w:val="24"/>
          <w:szCs w:val="24"/>
        </w:rPr>
        <w:t xml:space="preserve">. Le gouvernement de la République du Niger </w:t>
      </w:r>
      <w:r>
        <w:rPr>
          <w:rFonts w:ascii="Arial Narrow" w:hAnsi="Arial Narrow"/>
          <w:sz w:val="24"/>
          <w:szCs w:val="24"/>
        </w:rPr>
        <w:t>s’engage à</w:t>
      </w:r>
      <w:r w:rsidRPr="0026275E">
        <w:rPr>
          <w:rFonts w:ascii="Arial Narrow" w:hAnsi="Arial Narrow"/>
          <w:sz w:val="24"/>
          <w:szCs w:val="24"/>
        </w:rPr>
        <w:t xml:space="preserve"> faire respecter toutes les exigences consignées dans le PEES, </w:t>
      </w:r>
      <w:r>
        <w:rPr>
          <w:rFonts w:ascii="Arial Narrow" w:hAnsi="Arial Narrow"/>
          <w:sz w:val="24"/>
          <w:szCs w:val="24"/>
        </w:rPr>
        <w:t xml:space="preserve">même si </w:t>
      </w:r>
      <w:r w:rsidRPr="0026275E">
        <w:rPr>
          <w:rFonts w:ascii="Arial Narrow" w:hAnsi="Arial Narrow"/>
          <w:sz w:val="24"/>
          <w:szCs w:val="24"/>
        </w:rPr>
        <w:t xml:space="preserve">la mise en œuvre d’une mesure </w:t>
      </w:r>
      <w:r>
        <w:rPr>
          <w:rFonts w:ascii="Arial Narrow" w:hAnsi="Arial Narrow"/>
          <w:sz w:val="24"/>
          <w:szCs w:val="24"/>
        </w:rPr>
        <w:t>ou</w:t>
      </w:r>
      <w:r w:rsidRPr="0026275E">
        <w:rPr>
          <w:rFonts w:ascii="Arial Narrow" w:hAnsi="Arial Narrow"/>
          <w:sz w:val="24"/>
          <w:szCs w:val="24"/>
        </w:rPr>
        <w:t xml:space="preserve"> d’une action relève du ministère mentionné au paragraphe 1 ci-dessus, y compris </w:t>
      </w:r>
      <w:r>
        <w:rPr>
          <w:rFonts w:ascii="Arial Narrow" w:hAnsi="Arial Narrow"/>
          <w:sz w:val="24"/>
          <w:szCs w:val="24"/>
        </w:rPr>
        <w:t>l’</w:t>
      </w:r>
      <w:r w:rsidRPr="0026275E">
        <w:rPr>
          <w:rFonts w:ascii="Arial Narrow" w:hAnsi="Arial Narrow"/>
          <w:sz w:val="24"/>
          <w:szCs w:val="24"/>
        </w:rPr>
        <w:t xml:space="preserve">Unité de Gestion du </w:t>
      </w:r>
      <w:r>
        <w:rPr>
          <w:rFonts w:ascii="Arial Narrow" w:hAnsi="Arial Narrow"/>
          <w:sz w:val="24"/>
          <w:szCs w:val="24"/>
        </w:rPr>
        <w:t xml:space="preserve">Programme </w:t>
      </w:r>
      <w:r w:rsidRPr="0026275E">
        <w:rPr>
          <w:rFonts w:ascii="Arial Narrow" w:hAnsi="Arial Narrow"/>
          <w:sz w:val="24"/>
          <w:szCs w:val="24"/>
        </w:rPr>
        <w:t>(UGP).</w:t>
      </w:r>
    </w:p>
    <w:p w:rsidR="00877A4F" w:rsidRDefault="00877A4F" w:rsidP="007B5518">
      <w:pPr>
        <w:spacing w:line="276" w:lineRule="auto"/>
        <w:jc w:val="both"/>
        <w:rPr>
          <w:rFonts w:ascii="Arial Narrow" w:hAnsi="Arial Narrow"/>
          <w:sz w:val="24"/>
          <w:szCs w:val="24"/>
        </w:rPr>
      </w:pPr>
    </w:p>
    <w:p w:rsidR="00A77D35" w:rsidRPr="00A77D35" w:rsidRDefault="00A77D35" w:rsidP="00A77D35">
      <w:pPr>
        <w:spacing w:line="276" w:lineRule="auto"/>
        <w:jc w:val="both"/>
        <w:rPr>
          <w:rFonts w:ascii="Arial Narrow" w:hAnsi="Arial Narrow" w:cs="Times New Roman"/>
          <w:bCs/>
        </w:rPr>
      </w:pPr>
      <w:r w:rsidRPr="00A77D35">
        <w:rPr>
          <w:rFonts w:ascii="Arial Narrow" w:eastAsia="Calibri" w:hAnsi="Arial Narrow" w:cs="Times New Roman"/>
          <w:b/>
          <w:bCs/>
        </w:rPr>
        <w:t>NB :</w:t>
      </w:r>
      <w:r w:rsidRPr="00A77D35">
        <w:rPr>
          <w:rFonts w:ascii="Arial Narrow" w:eastAsia="Calibri" w:hAnsi="Arial Narrow" w:cs="Times New Roman"/>
          <w:bCs/>
        </w:rPr>
        <w:t xml:space="preserve"> Pour tout besoin de consultation, le rapport est disponible </w:t>
      </w:r>
    </w:p>
    <w:p w:rsidR="00A77D35" w:rsidRPr="00A77D35" w:rsidRDefault="00A77D35" w:rsidP="00A77D35">
      <w:pPr>
        <w:numPr>
          <w:ilvl w:val="0"/>
          <w:numId w:val="3"/>
        </w:numPr>
        <w:spacing w:line="276" w:lineRule="auto"/>
        <w:contextualSpacing/>
        <w:jc w:val="both"/>
        <w:rPr>
          <w:rFonts w:ascii="Arial Narrow" w:eastAsia="Times New Roman" w:hAnsi="Arial Narrow" w:cs="Times New Roman"/>
          <w:color w:val="2E74B5" w:themeColor="accent1" w:themeShade="BF"/>
        </w:rPr>
      </w:pPr>
      <w:r w:rsidRPr="00A77D35">
        <w:rPr>
          <w:rFonts w:ascii="Arial Narrow" w:hAnsi="Arial Narrow" w:cs="Times New Roman"/>
          <w:bCs/>
        </w:rPr>
        <w:t>au Ministère de l’Hydraulique et de l’Assainissement: Face rond-point Hôpital National (</w:t>
      </w:r>
      <w:r w:rsidR="00FB59A1">
        <w:rPr>
          <w:rFonts w:ascii="Arial Narrow" w:hAnsi="Arial Narrow" w:cs="Times New Roman"/>
          <w:bCs/>
        </w:rPr>
        <w:t xml:space="preserve">Place </w:t>
      </w:r>
      <w:r w:rsidRPr="00A77D35">
        <w:rPr>
          <w:rFonts w:ascii="Arial Narrow" w:hAnsi="Arial Narrow" w:cs="Times New Roman"/>
          <w:bCs/>
        </w:rPr>
        <w:t xml:space="preserve">Nelson </w:t>
      </w:r>
      <w:r w:rsidR="00FB59A1">
        <w:rPr>
          <w:rFonts w:ascii="Arial Narrow" w:hAnsi="Arial Narrow" w:cs="Times New Roman"/>
          <w:bCs/>
        </w:rPr>
        <w:t xml:space="preserve">Mandela). SP PANGIRE Tel : 96 96 77 54 ou </w:t>
      </w:r>
      <w:r w:rsidRPr="00A77D35">
        <w:rPr>
          <w:rFonts w:ascii="Arial Narrow" w:hAnsi="Arial Narrow" w:cs="Times New Roman"/>
          <w:bCs/>
        </w:rPr>
        <w:t>DAID/RP  Tél : 96 99 60 76</w:t>
      </w:r>
    </w:p>
    <w:p w:rsidR="00A77D35" w:rsidRPr="00FB59A1" w:rsidRDefault="00A77D35" w:rsidP="00A77D35">
      <w:pPr>
        <w:numPr>
          <w:ilvl w:val="0"/>
          <w:numId w:val="3"/>
        </w:numPr>
        <w:spacing w:line="276" w:lineRule="auto"/>
        <w:contextualSpacing/>
        <w:jc w:val="both"/>
        <w:rPr>
          <w:rFonts w:ascii="Arial Narrow" w:eastAsia="Times New Roman" w:hAnsi="Arial Narrow" w:cs="Times New Roman"/>
          <w:b/>
          <w:color w:val="2E74B5" w:themeColor="accent1" w:themeShade="BF"/>
        </w:rPr>
      </w:pPr>
      <w:r w:rsidRPr="00A77D35">
        <w:rPr>
          <w:rFonts w:ascii="Arial Narrow" w:hAnsi="Arial Narrow" w:cs="Times New Roman"/>
          <w:bCs/>
        </w:rPr>
        <w:t>au Ministère de l’Environnement et de la L</w:t>
      </w:r>
      <w:r w:rsidR="00FB59A1">
        <w:rPr>
          <w:rFonts w:ascii="Arial Narrow" w:hAnsi="Arial Narrow" w:cs="Times New Roman"/>
          <w:bCs/>
        </w:rPr>
        <w:t xml:space="preserve">utte contre la Désertification : Site WEB du </w:t>
      </w:r>
      <w:r w:rsidRPr="00A77D35">
        <w:rPr>
          <w:rFonts w:ascii="Arial Narrow" w:hAnsi="Arial Narrow" w:cs="Times New Roman"/>
          <w:bCs/>
        </w:rPr>
        <w:t>Bureau National des</w:t>
      </w:r>
      <w:r w:rsidR="00FB59A1">
        <w:rPr>
          <w:rFonts w:ascii="Arial Narrow" w:hAnsi="Arial Narrow" w:cs="Times New Roman"/>
          <w:bCs/>
        </w:rPr>
        <w:t xml:space="preserve"> Evaluations Environnementales </w:t>
      </w:r>
      <w:r w:rsidR="00FB59A1" w:rsidRPr="00FB59A1">
        <w:rPr>
          <w:rFonts w:ascii="Arial Narrow" w:hAnsi="Arial Narrow" w:cs="Times New Roman"/>
          <w:b/>
          <w:bCs/>
        </w:rPr>
        <w:t xml:space="preserve">www.bnee.ne </w:t>
      </w:r>
    </w:p>
    <w:p w:rsidR="00A77D35" w:rsidRPr="00A77D35" w:rsidRDefault="00A77D35" w:rsidP="00A77D35">
      <w:pPr>
        <w:numPr>
          <w:ilvl w:val="0"/>
          <w:numId w:val="3"/>
        </w:numPr>
        <w:spacing w:line="276" w:lineRule="auto"/>
        <w:contextualSpacing/>
        <w:jc w:val="both"/>
        <w:rPr>
          <w:rFonts w:ascii="Arial Narrow" w:eastAsia="Times New Roman" w:hAnsi="Arial Narrow" w:cs="Times New Roman"/>
          <w:color w:val="2E74B5" w:themeColor="accent1" w:themeShade="BF"/>
        </w:rPr>
      </w:pPr>
      <w:r w:rsidRPr="00A77D35">
        <w:rPr>
          <w:rFonts w:ascii="Arial Narrow" w:hAnsi="Arial Narrow" w:cs="Times New Roman"/>
          <w:bCs/>
        </w:rPr>
        <w:t xml:space="preserve"> à l’Unité de Gestion des Fonds de </w:t>
      </w:r>
      <w:r w:rsidR="00FB59A1">
        <w:rPr>
          <w:rFonts w:ascii="Arial Narrow" w:hAnsi="Arial Narrow" w:cs="Times New Roman"/>
          <w:bCs/>
        </w:rPr>
        <w:t>P</w:t>
      </w:r>
      <w:r w:rsidRPr="00A77D35">
        <w:rPr>
          <w:rFonts w:ascii="Arial Narrow" w:hAnsi="Arial Narrow" w:cs="Times New Roman"/>
          <w:bCs/>
        </w:rPr>
        <w:t>réparation du PISEN (sis dans les locaux de l’Ex PEAMU) : Bd. Des Sy et Mamar N°YN98 Koira Kano. Derrière les TP_ Route Tillabery. Tél : (+227) 20 72 47 31 BP 11 966. plateformepisen@gmail.com</w:t>
      </w:r>
    </w:p>
    <w:p w:rsidR="00877A4F" w:rsidRDefault="00877A4F" w:rsidP="007B5518">
      <w:pPr>
        <w:spacing w:line="276" w:lineRule="auto"/>
        <w:jc w:val="both"/>
        <w:rPr>
          <w:rFonts w:ascii="Arial Narrow" w:hAnsi="Arial Narrow"/>
          <w:sz w:val="24"/>
          <w:szCs w:val="24"/>
        </w:rPr>
      </w:pPr>
    </w:p>
    <w:p w:rsidR="007B5518" w:rsidRDefault="007B5518"/>
    <w:sectPr w:rsidR="007B55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E43" w:rsidRDefault="00C30E43">
      <w:pPr>
        <w:spacing w:after="0" w:line="240" w:lineRule="auto"/>
      </w:pPr>
      <w:r>
        <w:separator/>
      </w:r>
    </w:p>
  </w:endnote>
  <w:endnote w:type="continuationSeparator" w:id="0">
    <w:p w:rsidR="00C30E43" w:rsidRDefault="00C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689" w:rsidRDefault="00A77D35">
    <w:pPr>
      <w:pStyle w:val="Pieddepage"/>
      <w:jc w:val="right"/>
    </w:pPr>
    <w:r>
      <w:fldChar w:fldCharType="begin"/>
    </w:r>
    <w:r>
      <w:instrText>PAGE   \* MERGEFORMAT</w:instrText>
    </w:r>
    <w:r>
      <w:fldChar w:fldCharType="separate"/>
    </w:r>
    <w:r w:rsidR="000555EA">
      <w:rPr>
        <w:noProof/>
      </w:rPr>
      <w:t>2</w:t>
    </w:r>
    <w:r>
      <w:fldChar w:fldCharType="end"/>
    </w:r>
  </w:p>
  <w:p w:rsidR="00EA0689" w:rsidRDefault="00C30E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E43" w:rsidRDefault="00C30E43">
      <w:pPr>
        <w:spacing w:after="0" w:line="240" w:lineRule="auto"/>
      </w:pPr>
      <w:r>
        <w:separator/>
      </w:r>
    </w:p>
  </w:footnote>
  <w:footnote w:type="continuationSeparator" w:id="0">
    <w:p w:rsidR="00C30E43" w:rsidRDefault="00C30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1CD0"/>
    <w:multiLevelType w:val="multilevel"/>
    <w:tmpl w:val="0450BF84"/>
    <w:lvl w:ilvl="0">
      <w:numFmt w:val="bullet"/>
      <w:lvlText w:val="-"/>
      <w:lvlJc w:val="left"/>
      <w:pPr>
        <w:ind w:left="720" w:hanging="360"/>
      </w:pPr>
      <w:rPr>
        <w:rFonts w:ascii="Calibri" w:eastAsiaTheme="minorHAnsi" w:hAnsi="Calibri" w:cs="Calibri"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79B557D"/>
    <w:multiLevelType w:val="hybridMultilevel"/>
    <w:tmpl w:val="D64A70C8"/>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0"/>
    <w:lvlOverride w:ilvl="0"/>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18"/>
    <w:rsid w:val="000555EA"/>
    <w:rsid w:val="000F33D6"/>
    <w:rsid w:val="00124508"/>
    <w:rsid w:val="00156AC3"/>
    <w:rsid w:val="0021582F"/>
    <w:rsid w:val="002B7F12"/>
    <w:rsid w:val="00520348"/>
    <w:rsid w:val="007B5518"/>
    <w:rsid w:val="00877A4F"/>
    <w:rsid w:val="00A77D35"/>
    <w:rsid w:val="00C30E43"/>
    <w:rsid w:val="00C8273C"/>
    <w:rsid w:val="00FB5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DB7D2-4F92-43C0-B60F-995B3D41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B5518"/>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7B5518"/>
    <w:rPr>
      <w:rFonts w:ascii="Calibri" w:eastAsia="Calibri" w:hAnsi="Calibri" w:cs="Times New Roman"/>
    </w:rPr>
  </w:style>
  <w:style w:type="paragraph" w:styleId="Paragraphedeliste">
    <w:name w:val="List Paragraph"/>
    <w:aliases w:val="Bullet,Bullet 1,Bullet Points,Bullet Style,Dot pt,F5 List Paragraph,Indicator Text,List Paragraph Char Char Char,List Paragraph12,MAIN CONTENT,No Spacing1,Normal numbered,Numbered Para 1,OBC Bullet,Para numbers,References,lp1,Bullets"/>
    <w:basedOn w:val="Normal"/>
    <w:link w:val="ParagraphedelisteCar"/>
    <w:uiPriority w:val="34"/>
    <w:qFormat/>
    <w:rsid w:val="00877A4F"/>
    <w:pPr>
      <w:ind w:left="720"/>
      <w:contextualSpacing/>
    </w:pPr>
  </w:style>
  <w:style w:type="character" w:customStyle="1" w:styleId="ParagraphedelisteCar">
    <w:name w:val="Paragraphe de liste Car"/>
    <w:aliases w:val="Bullet Car,Bullet 1 Car,Bullet Points Car,Bullet Style Car,Dot pt Car,F5 List Paragraph Car,Indicator Text Car,List Paragraph Char Char Char Car,List Paragraph12 Car,MAIN CONTENT Car,No Spacing1 Car,Normal numbered Car,lp1 Car"/>
    <w:link w:val="Paragraphedeliste"/>
    <w:uiPriority w:val="34"/>
    <w:qFormat/>
    <w:rsid w:val="0087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4731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 Soumaila</dc:creator>
  <cp:keywords/>
  <dc:description/>
  <cp:lastModifiedBy>HP</cp:lastModifiedBy>
  <cp:revision>2</cp:revision>
  <dcterms:created xsi:type="dcterms:W3CDTF">2021-08-09T07:24:00Z</dcterms:created>
  <dcterms:modified xsi:type="dcterms:W3CDTF">2021-08-09T07:24:00Z</dcterms:modified>
</cp:coreProperties>
</file>